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E8F" w:rsidRDefault="00427E8F" w:rsidP="00A43928">
      <w:pPr>
        <w:jc w:val="center"/>
        <w:rPr>
          <w:rFonts w:ascii="Verdana" w:hAnsi="Verdana"/>
          <w:b/>
          <w:bCs/>
        </w:rPr>
      </w:pPr>
    </w:p>
    <w:p w:rsidR="00427E8F" w:rsidRDefault="00427E8F" w:rsidP="00427E8F">
      <w:pPr>
        <w:spacing w:after="0" w:line="240" w:lineRule="auto"/>
        <w:jc w:val="center"/>
        <w:rPr>
          <w:rFonts w:ascii="Verdana" w:hAnsi="Verdana"/>
          <w:b/>
          <w:bCs/>
        </w:rPr>
      </w:pPr>
      <w:r w:rsidRPr="000C1EE2">
        <w:rPr>
          <w:rFonts w:ascii="Verdana" w:hAnsi="Verdana"/>
          <w:b/>
          <w:bCs/>
        </w:rPr>
        <w:t xml:space="preserve">Оплата населенням </w:t>
      </w:r>
      <w:r w:rsidR="00D62FA2">
        <w:rPr>
          <w:rFonts w:ascii="Verdana" w:hAnsi="Verdana"/>
          <w:b/>
          <w:bCs/>
        </w:rPr>
        <w:t>Київської</w:t>
      </w:r>
      <w:r w:rsidRPr="000C1EE2">
        <w:rPr>
          <w:rFonts w:ascii="Verdana" w:hAnsi="Verdana"/>
          <w:b/>
          <w:bCs/>
        </w:rPr>
        <w:t xml:space="preserve"> області житлово-комунальних послуг у ІІ кварталі 2025 року</w:t>
      </w:r>
    </w:p>
    <w:p w:rsidR="00D17733" w:rsidRPr="00D17733" w:rsidRDefault="00D17733" w:rsidP="00427E8F">
      <w:pPr>
        <w:spacing w:after="0" w:line="240" w:lineRule="auto"/>
        <w:jc w:val="center"/>
        <w:rPr>
          <w:rFonts w:ascii="Verdana" w:hAnsi="Verdana"/>
          <w:b/>
          <w:bCs/>
          <w:sz w:val="16"/>
          <w:szCs w:val="16"/>
          <w:vertAlign w:val="superscript"/>
        </w:rPr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202"/>
        <w:gridCol w:w="3421"/>
      </w:tblGrid>
      <w:tr w:rsidR="00427E8F" w:rsidRPr="000C1EE2" w:rsidTr="008B77A1">
        <w:trPr>
          <w:tblCellSpacing w:w="20" w:type="dxa"/>
          <w:jc w:val="center"/>
        </w:trPr>
        <w:tc>
          <w:tcPr>
            <w:tcW w:w="6172" w:type="dxa"/>
            <w:vAlign w:val="center"/>
            <w:hideMark/>
          </w:tcPr>
          <w:p w:rsidR="00427E8F" w:rsidRPr="000C1EE2" w:rsidRDefault="00427E8F" w:rsidP="00C77AB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31" w:type="dxa"/>
            <w:vAlign w:val="center"/>
            <w:hideMark/>
          </w:tcPr>
          <w:p w:rsidR="00427E8F" w:rsidRPr="000C1EE2" w:rsidRDefault="00427E8F" w:rsidP="00C77A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ІІ квартал 2025 року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Суми коштів, нарахованих населенню до сплати за житлово-комунальні послуги, тис. грн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3 623 153,8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Суми коштів, сплачених населенням за житлово-комунальні послуги, тис. грн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4 021 133,4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Рівень оплати населенням житлово-комунальних послуг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1</w:t>
            </w:r>
            <w:r w:rsidRPr="000C1EE2">
              <w:rPr>
                <w:rFonts w:ascii="Verdana" w:hAnsi="Verdana"/>
                <w:sz w:val="20"/>
                <w:szCs w:val="20"/>
              </w:rPr>
              <w:t>, %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111,0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 xml:space="preserve">Заборгованість населення з оплати житлово-комунальних послуг за видами послуг, </w:t>
            </w:r>
            <w:proofErr w:type="spellStart"/>
            <w:r w:rsidRPr="000C1EE2">
              <w:rPr>
                <w:rFonts w:ascii="Verdana" w:hAnsi="Verdana"/>
                <w:sz w:val="20"/>
                <w:szCs w:val="20"/>
              </w:rPr>
              <w:t>тис.грн</w:t>
            </w:r>
            <w:proofErr w:type="spellEnd"/>
            <w:r w:rsidRPr="000C1EE2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Управління багатоквартирним будинком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424 255,7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Централізоване водопостачання та водовідведення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429 739,2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Постачання теплової енергії та гарячої води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729 983,5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Постачання та розподіл природного газу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380 708,2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Управління побутовими відходами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66 007,2</w:t>
            </w:r>
          </w:p>
        </w:tc>
      </w:tr>
      <w:tr w:rsidR="005E7869" w:rsidRPr="000C1EE2" w:rsidTr="008B77A1">
        <w:trPr>
          <w:tblCellSpacing w:w="20" w:type="dxa"/>
          <w:jc w:val="center"/>
        </w:trPr>
        <w:tc>
          <w:tcPr>
            <w:tcW w:w="6172" w:type="dxa"/>
            <w:hideMark/>
          </w:tcPr>
          <w:p w:rsidR="005E7869" w:rsidRPr="000C1EE2" w:rsidRDefault="005E7869" w:rsidP="005E7869">
            <w:pPr>
              <w:rPr>
                <w:rFonts w:ascii="Verdana" w:hAnsi="Verdana"/>
                <w:sz w:val="20"/>
                <w:szCs w:val="20"/>
              </w:rPr>
            </w:pPr>
            <w:r w:rsidRPr="000C1EE2">
              <w:rPr>
                <w:rFonts w:ascii="Verdana" w:hAnsi="Verdana"/>
                <w:sz w:val="20"/>
                <w:szCs w:val="20"/>
              </w:rPr>
              <w:t>Постачання та розподіл електричної енергії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5E7869" w:rsidRDefault="005E7869" w:rsidP="005E7869">
            <w:pPr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к</w:t>
            </w:r>
          </w:p>
        </w:tc>
      </w:tr>
    </w:tbl>
    <w:p w:rsidR="00427E8F" w:rsidRDefault="00D17733" w:rsidP="00A43928">
      <w:pPr>
        <w:jc w:val="both"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/>
          <w:sz w:val="18"/>
          <w:szCs w:val="18"/>
          <w:vertAlign w:val="superscript"/>
        </w:rPr>
        <w:t>_________________</w:t>
      </w:r>
    </w:p>
    <w:p w:rsidR="00A43928" w:rsidRDefault="002C76EF" w:rsidP="00A43928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vertAlign w:val="superscript"/>
        </w:rPr>
        <w:t>1</w:t>
      </w:r>
      <w:r w:rsidR="00A43928" w:rsidRPr="000C1EE2">
        <w:rPr>
          <w:rFonts w:ascii="Verdana" w:hAnsi="Verdana"/>
          <w:sz w:val="18"/>
          <w:szCs w:val="18"/>
        </w:rPr>
        <w:t>За рахунок погашення боргу попередніх періодів (у разі якщо значення більше 100).</w:t>
      </w:r>
    </w:p>
    <w:p w:rsidR="00A43928" w:rsidRDefault="00A43928" w:rsidP="00A43928">
      <w:pPr>
        <w:jc w:val="both"/>
        <w:rPr>
          <w:rFonts w:ascii="Verdana" w:hAnsi="Verdana"/>
          <w:b/>
          <w:bCs/>
          <w:vertAlign w:val="superscript"/>
        </w:rPr>
      </w:pPr>
      <w:r w:rsidRPr="000C1EE2">
        <w:rPr>
          <w:rFonts w:ascii="Verdana" w:hAnsi="Verdana"/>
          <w:sz w:val="18"/>
          <w:szCs w:val="18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 (у разі закриття даних)</w:t>
      </w:r>
    </w:p>
    <w:p w:rsidR="00A43928" w:rsidRDefault="00A43928" w:rsidP="00A43928">
      <w:pPr>
        <w:jc w:val="center"/>
        <w:rPr>
          <w:rFonts w:ascii="Verdana" w:hAnsi="Verdana"/>
          <w:b/>
          <w:bCs/>
          <w:vertAlign w:val="superscript"/>
        </w:rPr>
      </w:pPr>
    </w:p>
    <w:p w:rsidR="00A43928" w:rsidRDefault="00A43928" w:rsidP="00A43928">
      <w:pPr>
        <w:jc w:val="center"/>
        <w:rPr>
          <w:rFonts w:ascii="Verdana" w:hAnsi="Verdana"/>
          <w:b/>
          <w:bCs/>
          <w:vertAlign w:val="superscript"/>
        </w:rPr>
      </w:pPr>
    </w:p>
    <w:p w:rsidR="00A43928" w:rsidRPr="000C1EE2" w:rsidRDefault="00584851" w:rsidP="00A43928">
      <w:pPr>
        <w:jc w:val="both"/>
        <w:rPr>
          <w:sz w:val="20"/>
          <w:szCs w:val="20"/>
        </w:rPr>
      </w:pPr>
      <w:bookmarkStart w:id="0" w:name="_GoBack"/>
      <w:r w:rsidRPr="00584851">
        <w:rPr>
          <w:sz w:val="20"/>
          <w:szCs w:val="20"/>
        </w:rPr>
        <w:t>Оплата населенням Київської області житлово-комунальних послуг у ІІ кварталі 2025 року</w:t>
      </w:r>
      <w:bookmarkEnd w:id="0"/>
    </w:p>
    <w:sectPr w:rsidR="00A43928" w:rsidRPr="000C1E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99"/>
    <w:rsid w:val="000C1EE2"/>
    <w:rsid w:val="001B28C0"/>
    <w:rsid w:val="002C76EF"/>
    <w:rsid w:val="003C3E8A"/>
    <w:rsid w:val="00401991"/>
    <w:rsid w:val="00427E8F"/>
    <w:rsid w:val="00584851"/>
    <w:rsid w:val="005E7869"/>
    <w:rsid w:val="008B77A1"/>
    <w:rsid w:val="00A43928"/>
    <w:rsid w:val="00B6002F"/>
    <w:rsid w:val="00CE3CD6"/>
    <w:rsid w:val="00CF7099"/>
    <w:rsid w:val="00D17733"/>
    <w:rsid w:val="00D6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DF3EF-5DF8-4C70-80F1-C3424D73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16</cp:revision>
  <dcterms:created xsi:type="dcterms:W3CDTF">2025-08-26T07:26:00Z</dcterms:created>
  <dcterms:modified xsi:type="dcterms:W3CDTF">2025-08-28T08:35:00Z</dcterms:modified>
</cp:coreProperties>
</file>